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209</w:t>
      </w:r>
    </w:p>
    <w:p>
      <w:r>
        <w:t>Bundesgericht (BGE), 1998-04-03, FR</w:t>
      </w:r>
    </w:p>
    <w:p>
      <w:r>
        <w:rPr>
          <w:b/>
        </w:rPr>
        <w:t xml:space="preserve">Quelle: </w:t>
      </w:r>
      <w:r>
        <w:t>https://mcp.opencaselaw.ch/entscheid/bge_124 V 209</w:t>
      </w:r>
    </w:p>
    <w:p>
      <w:r>
        <w:t>FR: ATF 124 V 209</w:t>
      </w:r>
    </w:p>
    <w:p>
      <w:r>
        <w:t>IT: DTF 124 V 209</w:t>
      </w:r>
    </w:p>
    <w:p>
      <w:pPr>
        <w:pStyle w:val="Heading2"/>
      </w:pPr>
      <w:r>
        <w:t>Regeste</w:t>
      </w:r>
    </w:p>
    <w:p>
      <w:r>
        <w:t>Regeste Art. 24 Abs. 1 UVG; Art. 36 Abs. 1 UVV: Integritätsentschädigung bei psychogenen Unfallfolgen. - Anspruch auf Integritätsentschädigung besteht grundsätzlich auch bei Beeinträchtigungen der psychischen Integrität. - Art. 36 Abs. 1 UVV, wonach der Integritätsschaden als dauernd gilt, wenn er voraussichtlich während des ganzen Lebens mindestens in gleichem Umfang besteht, ist gesetzmässig. - Psychogene Störungen nach Unfällen geben Anspruch auf Integritätsentschädigung, wenn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w:t>
      </w:r>
    </w:p>
    <w:p>
      <w:pPr>
        <w:pStyle w:val="Heading2"/>
      </w:pPr>
      <w:r>
        <w:t>Erwägungen</w:t>
      </w:r>
    </w:p>
    <w:p>
      <w:r>
        <w:rPr>
          <w:b/>
        </w:rPr>
        <w:t>E. 4</w:t>
      </w:r>
    </w:p>
    <w:p>
      <w:r>
        <w:t>a) aa) Selon l' art. 24 al. 1 LAA , l'assuré qui souffre d'une atteinte importante et durable à son intégrité physique ou mentale ensuite d'un accident a droit à une indemnité équitable pour atteinte à l'intégrité. Aux termes de l' art. 36 al. 1 OLAA , une atteinte à l'intégrité est réputée durable lorsqu'il est prévisible qu'elle subsistera avec au moins la même gravité pendant toute la vie (première phrase); elle est réputée importante lorsque l'intégrité physique ou mentale subit, indépendamment de la diminution de la capacité de gain, une altération évidente ou grave (seconde phrase). bb) D'après l' art. 25 al. 1 LAA , l'indemnité pour atteinte à l'intégrité est allouée sous forme de prestation en capital (première phrase); elle ne doit pas excéder le montant maximum du gain annuel assuré à l'époque de l'accident et elle est échelonnée selon la gravité de l'atteinte à l'intégrité (seconde phrase). Aux termes de l' art. 25 al. 2 LAA , le Conseil fédéral édicte des prescriptions détaillées sur le calcul de l'indemnité. Il a fait usage de cette délégation de compétence à l' art. 36 OLAA . Selon l'al. 2 de cette disposition réglementaire, l'indemnité pour atteinte à l'intégrité est calculée selon les directives figurant à l'annexe 3 à l'OLAA. Cette annexe comporte un barème - reconnu conforme à la loi et non exhaustif ( ATF 113 V 219 consid. 2a; RAMA 1988 no U 48 p. 236 consid. 2a et les références) - des lésions fréquentes et caractéristiques, évaluées en pour cent. Dans ce barème, figurent notamment l'atteinte à des fonctions psychiques partielles, comme la mémoire et la capacité de concentration, ainsi que le syndrome psycho-organique. BGE 124 V 209 S. 211 cc) L'indemnité allouée pour les atteintes à l'intégrité énumérées à l'annexe 3 à l'ordonnance est fixée, en règle générale, en pour cent du montant maximum du gain assuré (ch. 1 al. 1). Pour les atteintes à l'intégrité spéciales ou qui ne figurent pas dans la liste, le barème est appliqué par analogie, en fonction de la gravité de l'atteinte (ch. 1 al. 2). La Division médicale de la Caisse nationale suisse d'assurance en cas d'accidents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116 V 157 consid. 3a et la référence). La table 8 concerne les atteintes à l'intégrité pour les complications psychiques de lésions cérébrales. Les atteintes sont classées à l'aide d'un examen neuropsychologique en quatre catégories: minime, modérée, moyenne et grave. Les troubles des fonctions cérébrales (syndromes psycho-organiques) d'origine traumatique, qui comprennent les troubles fonctionnels neuropsychologiques (comme les troubles de la mémoire, de l'attention et de la concentration) et les altérations de la personnalité (comme les troubles pulsionnels ou affectifs), sont évalués de 0 à 80% en fonction de leur gravité. b) Dans un arrêt du 3 mars 1998 publié aux ATF 124 V 29 , le Tribunal fédéral des assurances a, pour la première fois, posé des principes généraux au sujet du droit à une indemnité pour atteinte à l'intégrité en cas de troubles psychiques consécutifs à un accident. Dans un premier temps, il a écarté le point de vue de la CNA selon lequel les troubles d'ordre psychique n'ouvrent pas droit, en principe, à une indemnité pour atteinte à l'intégrité. Le tribunal s'est fondé pour cela sur le texte de l' art. 24 al. 1 LAA et les travaux préparatoires de la loi sur l'assurance-accidents, ainsi que sur la règle selon laquelle l'atteinte doit être évaluée de manière abstraite et conformément au principe de l'égalité de traitement ( ATF 113 V 221 consid. 4b). Par ailleurs, il a confirmé la légalité de l'art. 36 al. 1, première phrase, OLAA, aux termes duquel une atteinte à l'intégrité est réputée durable lorsqu'il est prévisible qu'elle subsistera avec au moins la même gravité pendant toute la vie; certes, ce critère constitue une restriction importante dans le cas d'une atteinte d'ordre psychique, puisqu'il est le plus souvent malaisé de BGE 124 V 209 S. 212 prévoir, avec le degré de vraisemblance requis par la jurisprudence, qu'une atteinte de ce type durera pendant toute la vie. Cela ne suffit toutefois pas pour déclarer contraire à la loi la disposition réglementaire précitée, laquelle ne déborde pas du cadre fixé à l' art. 24 al. 1 LAA . Aussi, le tribunal s'est-il écarté du point de vue de la CNA, selon lequel des troubles psychiques ne peuvent ouvrir droit à une indemnité pour atteinte à l'intégrité que lorsque l'événement accidentel doit être qualifié d'extraordinairement grave et qu'une surcharge psychogène post-traumatique passée à l'état chronique a été diagnostiquée. Il a considéré que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 par l'Organisation mondiale de la santé sous le titre d'"ICD-10"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C'est pourquoi le Tribunal fédéral des assurances n'a pas à prendre position sur le point de savoir si des troubles psychiques consécutifs à un accident doivent être qualifiés exclusivement selon les critères clinico-diagnostiques de l'ICD-10; quant au point de savoir si seules les surcharges psychogènes post-traumatiques classées dans la sous-catégorie F 43.1 ont un caractère durable et ouvrent de ce fait droit à indemnité, il peut rester indécis. Dans la mesure où l'examen du caractère durable des troubles psychiques, en tant que notion juridique, est finalement une question de droit qui doit être tranchée en fonction du cas particulier, le tribunal a renoncé à mettre en oeuvre une expertise de principe au sujet de l'évolution des troubles psychiques consécutifs à des accidents sous l'angle du caractère durable de l'atteinte. BGE 124 V 209 S. 213 Du point de vue médical, il faut partir du principe que, selon la doctrine psychiatrique majoritaire, des troubles de nature psychique ne durent pas, en règle générale, toute la vie, mais vont en s'atténuant, de sorte que la condition légale du caractère durable de l'atteinte n'est pas réalisée. En revanche, le droit à prestations est donné lorsqu'en vertu d'avis médico-psychiatriques, il est possible de poser de manière indiscutable un pronostic individuel à long terme qui exclut pratiquement pour toute la vie une guérison ou une amélioration. Du point de vue médico-psychiatrique, il n'existe pas nécessairement, selon MURER, KIND ET BINDER, un lien entre la gravité de l'événement accidentel et les troubles psychiques, du moment que les séquelles psychogènes ont leur origine dans le stress psychique post-traumatique et que les réactions individuelles sont très diverses. Toutefois, selon les auteurs prénommés, un accident grave avec des suites importantes est davantage enclin à conduire à un stress psychique élevé et, partant, à entraîner des troubles psychiques post-traumatiques qu'un accident léger ou banal; l'expérience montre que des accidents graves de type catastrophe entraînent chez de nombreux individus des réactions psychiques plus ou moins longues, quand bien même les personnes concernées n'ont pas subi de lésions physiques graves (MURER/KIND/BINDER, Kriterien zur Beurteilung des adäquaten Kausalzusammenhanges, in: RSAS 36/1993 p. 131 s.). Se fondant sur cette constatation psychiatrique, la jurisprudence relative à l'examen de la causalité adéquate en cas de troubles psychiques consécutifs à un accident ne prend pas en considération la manière dont l'accident a été vécu mais se fonde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d'origine psychique ( ATF 115 V 139 sv. consid. 6, 408 consid. 5 et les références). A la lumière de cette jurisprudence et compte tenu du fait que, selon la doctrine psychiatrique majoritaire, seuls des événements accidentels d'une gravité exceptionnelle entraînent des atteintes à l'intégrité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 ATF 115 V 133 ss, 403 ss). BGE 124 V 209 S. 214 D'après cette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 ATF 115 V 139 sv. consid. 6, 409 consid. 5c/aa).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 ATF 115 V 140 sv. consid. 6c, 409 sv.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